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b/>
          <w:bCs/>
          <w:sz w:val="44"/>
          <w:szCs w:val="44"/>
        </w:rPr>
      </w:pPr>
      <w:r>
        <w:rPr>
          <w:rFonts w:hint="eastAsia" w:ascii="方正大标宋简体" w:hAnsi="方正大标宋简体" w:eastAsia="方正大标宋简体" w:cs="方正大标宋简体"/>
          <w:b/>
          <w:bCs/>
          <w:sz w:val="44"/>
          <w:szCs w:val="44"/>
          <w:lang w:eastAsia="zh-CN"/>
        </w:rPr>
        <w:t>关于</w:t>
      </w:r>
      <w:r>
        <w:rPr>
          <w:rFonts w:hint="eastAsia" w:ascii="方正大标宋简体" w:hAnsi="方正大标宋简体" w:eastAsia="方正大标宋简体" w:cs="方正大标宋简体"/>
          <w:b/>
          <w:bCs/>
          <w:sz w:val="44"/>
          <w:szCs w:val="44"/>
        </w:rPr>
        <w:t>《辽宁省科学技术厅关于实验动物行政处罚裁量权的规定（试行）》</w:t>
      </w:r>
      <w:r>
        <w:rPr>
          <w:rFonts w:hint="eastAsia" w:ascii="方正大标宋简体" w:hAnsi="方正大标宋简体" w:eastAsia="方正大标宋简体" w:cs="方正大标宋简体"/>
          <w:b/>
          <w:bCs/>
          <w:sz w:val="44"/>
          <w:szCs w:val="44"/>
          <w:lang w:eastAsia="zh-CN"/>
        </w:rPr>
        <w:t>和</w:t>
      </w:r>
      <w:r>
        <w:rPr>
          <w:rFonts w:hint="eastAsia" w:ascii="方正大标宋简体" w:hAnsi="方正大标宋简体" w:eastAsia="方正大标宋简体" w:cs="方正大标宋简体"/>
          <w:b/>
          <w:bCs/>
          <w:sz w:val="44"/>
          <w:szCs w:val="44"/>
        </w:rPr>
        <w:t>《辽宁省</w:t>
      </w:r>
    </w:p>
    <w:p>
      <w:pPr>
        <w:keepNext w:val="0"/>
        <w:keepLines w:val="0"/>
        <w:pageBreakBefore w:val="0"/>
        <w:widowControl/>
        <w:kinsoku/>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b/>
          <w:bCs/>
          <w:sz w:val="44"/>
          <w:szCs w:val="44"/>
        </w:rPr>
      </w:pPr>
      <w:r>
        <w:rPr>
          <w:rFonts w:hint="eastAsia" w:ascii="方正大标宋简体" w:hAnsi="方正大标宋简体" w:eastAsia="方正大标宋简体" w:cs="方正大标宋简体"/>
          <w:b/>
          <w:bCs/>
          <w:sz w:val="44"/>
          <w:szCs w:val="44"/>
        </w:rPr>
        <w:t>科学技术厅实验动物行政处罚裁量权</w:t>
      </w:r>
    </w:p>
    <w:p>
      <w:pPr>
        <w:keepNext w:val="0"/>
        <w:keepLines w:val="0"/>
        <w:pageBreakBefore w:val="0"/>
        <w:widowControl/>
        <w:kinsoku/>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b/>
          <w:bCs/>
          <w:sz w:val="44"/>
          <w:szCs w:val="44"/>
          <w:lang w:eastAsia="zh-CN"/>
        </w:rPr>
      </w:pPr>
      <w:r>
        <w:rPr>
          <w:rFonts w:hint="eastAsia" w:ascii="方正大标宋简体" w:hAnsi="方正大标宋简体" w:eastAsia="方正大标宋简体" w:cs="方正大标宋简体"/>
          <w:b/>
          <w:bCs/>
          <w:sz w:val="44"/>
          <w:szCs w:val="44"/>
        </w:rPr>
        <w:t>执行标准（试行）》</w:t>
      </w:r>
      <w:r>
        <w:rPr>
          <w:rFonts w:hint="eastAsia" w:ascii="方正大标宋简体" w:hAnsi="方正大标宋简体" w:eastAsia="方正大标宋简体" w:cs="方正大标宋简体"/>
          <w:b/>
          <w:bCs/>
          <w:sz w:val="44"/>
          <w:szCs w:val="44"/>
          <w:lang w:eastAsia="zh-CN"/>
        </w:rPr>
        <w:t>的政策</w:t>
      </w:r>
      <w:bookmarkStart w:id="0" w:name="_GoBack"/>
      <w:bookmarkEnd w:id="0"/>
      <w:r>
        <w:rPr>
          <w:rFonts w:hint="eastAsia" w:ascii="方正大标宋简体" w:hAnsi="方正大标宋简体" w:eastAsia="方正大标宋简体" w:cs="方正大标宋简体"/>
          <w:b/>
          <w:bCs/>
          <w:sz w:val="44"/>
          <w:szCs w:val="44"/>
          <w:lang w:eastAsia="zh-CN"/>
        </w:rPr>
        <w:t>解读</w:t>
      </w:r>
    </w:p>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kinsoku/>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kern w:val="2"/>
          <w:sz w:val="32"/>
          <w:szCs w:val="32"/>
          <w:lang w:val="en-US" w:eastAsia="zh-CN" w:bidi="ar-SA"/>
        </w:rPr>
        <w:t>为进一步规范辽宁省实验动物行政处罚裁量权，确保依法行政，省科技厅制定了《辽宁省科学技术厅关于实验动物行政处罚裁量权的规定（试行）》</w:t>
      </w:r>
      <w:r>
        <w:rPr>
          <w:rFonts w:hint="eastAsia" w:ascii="仿宋_GB2312" w:hAnsi="仿宋_GB2312" w:eastAsia="仿宋_GB2312" w:cs="仿宋_GB2312"/>
          <w:sz w:val="32"/>
          <w:szCs w:val="32"/>
        </w:rPr>
        <w:t>（以下简称《裁量权规定（试行）》）</w:t>
      </w:r>
      <w:r>
        <w:rPr>
          <w:rFonts w:hint="eastAsia" w:ascii="仿宋_GB2312" w:hAnsi="仿宋_GB2312" w:eastAsia="仿宋_GB2312" w:cs="仿宋_GB2312"/>
          <w:kern w:val="2"/>
          <w:sz w:val="32"/>
          <w:szCs w:val="32"/>
          <w:lang w:val="en-US" w:eastAsia="zh-CN" w:bidi="ar-SA"/>
        </w:rPr>
        <w:t>和《辽宁省科学技术厅实验动物行政处罚裁量权执行标准（试行）》</w:t>
      </w:r>
      <w:r>
        <w:rPr>
          <w:rFonts w:hint="eastAsia" w:ascii="仿宋_GB2312" w:hAnsi="仿宋_GB2312" w:eastAsia="仿宋_GB2312" w:cs="仿宋_GB2312"/>
          <w:sz w:val="32"/>
          <w:szCs w:val="32"/>
        </w:rPr>
        <w:t>（以下简称《裁量权执行标准（试行）》）</w:t>
      </w:r>
      <w:r>
        <w:rPr>
          <w:rFonts w:hint="eastAsia" w:ascii="仿宋_GB2312" w:hAnsi="仿宋_GB2312" w:eastAsia="仿宋_GB2312" w:cs="仿宋_GB2312"/>
          <w:sz w:val="32"/>
          <w:szCs w:val="32"/>
          <w:lang w:eastAsia="zh-CN"/>
        </w:rPr>
        <w:t>，自</w:t>
      </w:r>
      <w:r>
        <w:rPr>
          <w:rFonts w:hint="eastAsia" w:ascii="仿宋_GB2312" w:hAnsi="仿宋_GB2312" w:eastAsia="仿宋_GB2312" w:cs="仿宋_GB2312"/>
          <w:sz w:val="32"/>
          <w:szCs w:val="32"/>
          <w:lang w:val="en-US" w:eastAsia="zh-CN"/>
        </w:rPr>
        <w:t>2023年5月15日起施行。</w:t>
      </w:r>
    </w:p>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　　 </w:t>
      </w: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制定</w:t>
      </w:r>
      <w:r>
        <w:rPr>
          <w:rFonts w:hint="eastAsia" w:ascii="方正黑体_GBK" w:hAnsi="方正黑体_GBK" w:eastAsia="方正黑体_GBK" w:cs="方正黑体_GBK"/>
          <w:sz w:val="32"/>
          <w:szCs w:val="32"/>
        </w:rPr>
        <w:t>背景</w:t>
      </w:r>
    </w:p>
    <w:p>
      <w:pPr>
        <w:keepNext w:val="0"/>
        <w:keepLines w:val="0"/>
        <w:pageBreakBefore w:val="0"/>
        <w:numPr>
          <w:ilvl w:val="0"/>
          <w:numId w:val="0"/>
        </w:numPr>
        <w:kinsoku/>
        <w:overflowPunct/>
        <w:topLinePunct w:val="0"/>
        <w:autoSpaceDE/>
        <w:autoSpaceDN/>
        <w:bidi w:val="0"/>
        <w:adjustRightInd/>
        <w:snapToGrid/>
        <w:spacing w:line="560" w:lineRule="exact"/>
        <w:ind w:left="64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《中华人民共和国生物安全法》《实验动物管理条例》《实</w:t>
      </w:r>
    </w:p>
    <w:p>
      <w:pPr>
        <w:keepNext w:val="0"/>
        <w:keepLines w:val="0"/>
        <w:widowControl/>
        <w:suppressLineNumbers w:val="0"/>
        <w:jc w:val="distribut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验动物许可证管理办法（试行）》《辽宁省实验动物管理办法》</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有关法律、法规和规章</w:t>
      </w:r>
      <w:r>
        <w:rPr>
          <w:rFonts w:hint="eastAsia" w:ascii="仿宋_GB2312" w:hAnsi="仿宋_GB2312" w:eastAsia="仿宋_GB2312" w:cs="仿宋_GB2312"/>
          <w:sz w:val="32"/>
          <w:szCs w:val="32"/>
          <w:lang w:eastAsia="zh-CN"/>
        </w:rPr>
        <w:t>自</w:t>
      </w:r>
      <w:r>
        <w:rPr>
          <w:rFonts w:hint="eastAsia" w:ascii="仿宋_GB2312" w:hAnsi="仿宋_GB2312" w:eastAsia="仿宋_GB2312" w:cs="仿宋_GB2312"/>
          <w:sz w:val="32"/>
          <w:szCs w:val="32"/>
          <w:lang w:val="en-US" w:eastAsia="zh-CN"/>
        </w:rPr>
        <w:t>1987年陆续</w:t>
      </w:r>
      <w:r>
        <w:rPr>
          <w:rFonts w:hint="eastAsia" w:ascii="仿宋_GB2312" w:hAnsi="仿宋_GB2312" w:eastAsia="仿宋_GB2312" w:cs="仿宋_GB2312"/>
          <w:sz w:val="32"/>
          <w:szCs w:val="32"/>
          <w:lang w:eastAsia="zh-CN"/>
        </w:rPr>
        <w:t>实施以来，</w:t>
      </w:r>
      <w:r>
        <w:rPr>
          <w:rFonts w:hint="eastAsia" w:ascii="仿宋_GB2312" w:hAnsi="仿宋_GB2312" w:eastAsia="仿宋_GB2312" w:cs="仿宋_GB2312"/>
          <w:sz w:val="32"/>
          <w:szCs w:val="32"/>
        </w:rPr>
        <w:t>在各个方面的共同努力下，我省实验动物管理已经步入科学化、规范化和法制化管理轨道</w:t>
      </w:r>
      <w:r>
        <w:rPr>
          <w:rFonts w:hint="eastAsia" w:ascii="仿宋_GB2312" w:hAnsi="仿宋_GB2312" w:eastAsia="仿宋_GB2312" w:cs="仿宋_GB2312"/>
          <w:sz w:val="32"/>
          <w:szCs w:val="32"/>
          <w:lang w:eastAsia="zh-CN"/>
        </w:rPr>
        <w:t>。为适应新形势下实验动物行政执法工作的需要，省科技厅根据国家和辽宁行政处罚裁量权相关要求，结合工作实际，制定了</w:t>
      </w:r>
      <w:r>
        <w:rPr>
          <w:rFonts w:hint="eastAsia" w:ascii="仿宋_GB2312" w:hAnsi="仿宋_GB2312" w:eastAsia="仿宋_GB2312" w:cs="仿宋_GB2312"/>
          <w:sz w:val="32"/>
          <w:szCs w:val="32"/>
        </w:rPr>
        <w:t>《裁量权规定（试行）》</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《裁量权执行标准（试行）》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以确保实验动物行政处罚的合法、公正和公平。</w:t>
      </w:r>
    </w:p>
    <w:p>
      <w:pPr>
        <w:keepNext w:val="0"/>
        <w:keepLines w:val="0"/>
        <w:pageBreakBefore w:val="0"/>
        <w:numPr>
          <w:ilvl w:val="0"/>
          <w:numId w:val="1"/>
        </w:numPr>
        <w:kinsoku/>
        <w:overflowPunct/>
        <w:topLinePunct w:val="0"/>
        <w:autoSpaceDE/>
        <w:autoSpaceDN/>
        <w:bidi w:val="0"/>
        <w:adjustRightInd/>
        <w:snapToGrid/>
        <w:spacing w:line="560" w:lineRule="exact"/>
        <w:ind w:left="640" w:leftChars="0" w:firstLine="0" w:firstLineChars="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制定依据</w:t>
      </w:r>
    </w:p>
    <w:p>
      <w:pPr>
        <w:keepNext w:val="0"/>
        <w:keepLines w:val="0"/>
        <w:pageBreakBefore w:val="0"/>
        <w:numPr>
          <w:ilvl w:val="0"/>
          <w:numId w:val="0"/>
        </w:numPr>
        <w:kinsoku/>
        <w:overflowPunct/>
        <w:topLinePunct w:val="0"/>
        <w:autoSpaceDE/>
        <w:autoSpaceDN/>
        <w:bidi w:val="0"/>
        <w:adjustRightInd/>
        <w:snapToGrid/>
        <w:spacing w:line="560" w:lineRule="exact"/>
        <w:ind w:left="640" w:left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《中华人民共和国行政处罚法》</w:t>
      </w:r>
    </w:p>
    <w:p>
      <w:pPr>
        <w:keepNext w:val="0"/>
        <w:keepLines w:val="0"/>
        <w:pageBreakBefore w:val="0"/>
        <w:numPr>
          <w:ilvl w:val="0"/>
          <w:numId w:val="0"/>
        </w:numPr>
        <w:kinsoku/>
        <w:overflowPunct/>
        <w:topLinePunct w:val="0"/>
        <w:autoSpaceDE/>
        <w:autoSpaceDN/>
        <w:bidi w:val="0"/>
        <w:adjustRightInd/>
        <w:snapToGrid/>
        <w:spacing w:line="560" w:lineRule="exact"/>
        <w:ind w:left="640" w:left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《科学技术部行政处罚实施办法》</w:t>
      </w:r>
    </w:p>
    <w:p>
      <w:pPr>
        <w:keepNext w:val="0"/>
        <w:keepLines w:val="0"/>
        <w:pageBreakBefore w:val="0"/>
        <w:numPr>
          <w:ilvl w:val="0"/>
          <w:numId w:val="0"/>
        </w:numPr>
        <w:kinsoku/>
        <w:overflowPunct/>
        <w:topLinePunct w:val="0"/>
        <w:autoSpaceDE/>
        <w:autoSpaceDN/>
        <w:bidi w:val="0"/>
        <w:adjustRightInd/>
        <w:snapToGrid/>
        <w:spacing w:line="560" w:lineRule="exact"/>
        <w:ind w:left="640" w:left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《中华人民共和国生物安全法》</w:t>
      </w:r>
    </w:p>
    <w:p>
      <w:pPr>
        <w:keepNext w:val="0"/>
        <w:keepLines w:val="0"/>
        <w:pageBreakBefore w:val="0"/>
        <w:numPr>
          <w:ilvl w:val="0"/>
          <w:numId w:val="0"/>
        </w:numPr>
        <w:kinsoku/>
        <w:overflowPunct/>
        <w:topLinePunct w:val="0"/>
        <w:autoSpaceDE/>
        <w:autoSpaceDN/>
        <w:bidi w:val="0"/>
        <w:adjustRightInd/>
        <w:snapToGrid/>
        <w:spacing w:line="560" w:lineRule="exact"/>
        <w:ind w:left="640" w:left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《实验动物管理条例》</w:t>
      </w:r>
    </w:p>
    <w:p>
      <w:pPr>
        <w:keepNext w:val="0"/>
        <w:keepLines w:val="0"/>
        <w:pageBreakBefore w:val="0"/>
        <w:numPr>
          <w:ilvl w:val="0"/>
          <w:numId w:val="0"/>
        </w:numPr>
        <w:kinsoku/>
        <w:overflowPunct/>
        <w:topLinePunct w:val="0"/>
        <w:autoSpaceDE/>
        <w:autoSpaceDN/>
        <w:bidi w:val="0"/>
        <w:adjustRightInd/>
        <w:snapToGrid/>
        <w:spacing w:line="560" w:lineRule="exact"/>
        <w:ind w:left="640" w:left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《实验动物许可证管理办法（试行）》</w:t>
      </w:r>
    </w:p>
    <w:p>
      <w:pPr>
        <w:keepNext w:val="0"/>
        <w:keepLines w:val="0"/>
        <w:pageBreakBefore w:val="0"/>
        <w:numPr>
          <w:ilvl w:val="0"/>
          <w:numId w:val="0"/>
        </w:numPr>
        <w:kinsoku/>
        <w:overflowPunct/>
        <w:topLinePunct w:val="0"/>
        <w:autoSpaceDE/>
        <w:autoSpaceDN/>
        <w:bidi w:val="0"/>
        <w:adjustRightInd/>
        <w:snapToGrid/>
        <w:spacing w:line="560" w:lineRule="exact"/>
        <w:ind w:left="640" w:left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《辽宁省实验动物管理办法》</w:t>
      </w:r>
    </w:p>
    <w:p>
      <w:pPr>
        <w:keepNext w:val="0"/>
        <w:keepLines w:val="0"/>
        <w:pageBreakBefore w:val="0"/>
        <w:numPr>
          <w:ilvl w:val="0"/>
          <w:numId w:val="0"/>
        </w:numPr>
        <w:kinsoku/>
        <w:overflowPunct/>
        <w:topLinePunct w:val="0"/>
        <w:autoSpaceDE/>
        <w:autoSpaceDN/>
        <w:bidi w:val="0"/>
        <w:adjustRightInd/>
        <w:snapToGrid/>
        <w:spacing w:line="560" w:lineRule="exact"/>
        <w:ind w:left="640" w:left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《辽宁省规范行政裁量权办法》</w:t>
      </w:r>
    </w:p>
    <w:p>
      <w:pPr>
        <w:keepNext w:val="0"/>
        <w:keepLines w:val="0"/>
        <w:pageBreakBefore w:val="0"/>
        <w:numPr>
          <w:ilvl w:val="0"/>
          <w:numId w:val="1"/>
        </w:numPr>
        <w:kinsoku/>
        <w:overflowPunct/>
        <w:topLinePunct w:val="0"/>
        <w:autoSpaceDE/>
        <w:autoSpaceDN/>
        <w:bidi w:val="0"/>
        <w:adjustRightInd/>
        <w:snapToGrid/>
        <w:spacing w:line="560" w:lineRule="exact"/>
        <w:ind w:left="640" w:leftChars="0" w:firstLine="0" w:firstLineChars="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主要内容</w:t>
      </w:r>
    </w:p>
    <w:p>
      <w:pPr>
        <w:keepNext w:val="0"/>
        <w:keepLines w:val="0"/>
        <w:pageBreakBefore w:val="0"/>
        <w:widowControl/>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（一）《裁量权规定（试行）》</w:t>
      </w:r>
    </w:p>
    <w:p>
      <w:pPr>
        <w:keepNext w:val="0"/>
        <w:keepLines w:val="0"/>
        <w:pageBreakBefore w:val="0"/>
        <w:widowControl/>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以规范辽宁省</w:t>
      </w:r>
      <w:r>
        <w:rPr>
          <w:rFonts w:hint="eastAsia" w:ascii="仿宋_GB2312" w:hAnsi="仿宋_GB2312" w:eastAsia="仿宋_GB2312" w:cs="仿宋_GB2312"/>
          <w:sz w:val="32"/>
          <w:szCs w:val="32"/>
        </w:rPr>
        <w:t>实验动物行政处罚裁量权，</w:t>
      </w:r>
      <w:r>
        <w:rPr>
          <w:rFonts w:hint="eastAsia" w:ascii="仿宋_GB2312" w:hAnsi="仿宋_GB2312" w:eastAsia="仿宋_GB2312" w:cs="仿宋_GB2312"/>
          <w:sz w:val="32"/>
          <w:szCs w:val="32"/>
          <w:lang w:eastAsia="zh-CN"/>
        </w:rPr>
        <w:t>确保依法、合理行政，维护从事实验动物生产、使用单位的合法权益为原则，共</w:t>
      </w:r>
      <w:r>
        <w:rPr>
          <w:rFonts w:hint="eastAsia" w:ascii="仿宋_GB2312" w:hAnsi="仿宋_GB2312" w:eastAsia="仿宋_GB2312" w:cs="仿宋_GB2312"/>
          <w:sz w:val="32"/>
          <w:szCs w:val="32"/>
        </w:rPr>
        <w:t>六章二十九条</w:t>
      </w:r>
      <w:r>
        <w:rPr>
          <w:rFonts w:hint="eastAsia" w:ascii="仿宋_GB2312" w:hAnsi="仿宋_GB2312" w:eastAsia="仿宋_GB2312" w:cs="仿宋_GB2312"/>
          <w:sz w:val="32"/>
          <w:szCs w:val="32"/>
          <w:lang w:eastAsia="zh-CN"/>
        </w:rPr>
        <w:t>。</w:t>
      </w:r>
    </w:p>
    <w:p>
      <w:pPr>
        <w:pStyle w:val="5"/>
        <w:keepNext w:val="0"/>
        <w:keepLines w:val="0"/>
        <w:pageBreakBefore w:val="0"/>
        <w:widowControl w:val="0"/>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第一章一至四条为总则部分，包括制定目的、适用范围、遵循规定和行政处罚种类等。</w:t>
      </w:r>
    </w:p>
    <w:p>
      <w:pPr>
        <w:pStyle w:val="5"/>
        <w:keepNext w:val="0"/>
        <w:keepLines w:val="0"/>
        <w:pageBreakBefore w:val="0"/>
        <w:widowControl w:val="0"/>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第二章五至八条为裁量原则，规定了行使实验动物行政处罚自由裁量权应当遵循的合法合理、公平公正公开、处罚与教育相结合以及履行告知义务等原则。</w:t>
      </w:r>
    </w:p>
    <w:p>
      <w:pPr>
        <w:pStyle w:val="5"/>
        <w:keepNext w:val="0"/>
        <w:keepLines w:val="0"/>
        <w:pageBreakBefore w:val="0"/>
        <w:widowControl w:val="0"/>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第三章九至十二条为裁量规则，规定了处罚法定原则，包括同一违法行为按照罚款数额高的规定处罚，同一违法行为不得进行两次罚款，充分听取当事人的陈述、申辩，行使行政处罚裁量权的主要依据等。</w:t>
      </w:r>
    </w:p>
    <w:p>
      <w:pPr>
        <w:pStyle w:val="5"/>
        <w:keepNext w:val="0"/>
        <w:keepLines w:val="0"/>
        <w:pageBreakBefore w:val="0"/>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第四章十三条至十九条为裁量程序，规定了普通程序、书面告知、举行听证的情形、法制审核和集体审议、行刑衔接、作出行政处罚决定期限、决定公示等内容。</w:t>
      </w:r>
    </w:p>
    <w:p>
      <w:pPr>
        <w:pStyle w:val="5"/>
        <w:keepNext w:val="0"/>
        <w:keepLines w:val="0"/>
        <w:pageBreakBefore w:val="0"/>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第五章二十条至二十六条为量罚情节与幅度，对不予处罚、从轻或减轻处罚、从重处罚、适用新旧规定等内容进行规定。</w:t>
      </w:r>
    </w:p>
    <w:p>
      <w:pPr>
        <w:pStyle w:val="5"/>
        <w:keepNext w:val="0"/>
        <w:keepLines w:val="0"/>
        <w:pageBreakBefore w:val="0"/>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第六章二十七条至二十九条为附则部分，规定了包括本数、解释部门、施行时间等。</w:t>
      </w:r>
    </w:p>
    <w:p>
      <w:pPr>
        <w:pStyle w:val="5"/>
        <w:keepNext w:val="0"/>
        <w:keepLines w:val="0"/>
        <w:pageBreakBefore w:val="0"/>
        <w:numPr>
          <w:ilvl w:val="0"/>
          <w:numId w:val="2"/>
        </w:numPr>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《裁量权执行标准（试行）》</w:t>
      </w:r>
    </w:p>
    <w:p>
      <w:pPr>
        <w:spacing w:line="360" w:lineRule="auto"/>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依据</w:t>
      </w:r>
      <w:r>
        <w:rPr>
          <w:rFonts w:hint="eastAsia" w:ascii="仿宋_GB2312" w:hAnsi="仿宋_GB2312" w:eastAsia="仿宋_GB2312" w:cs="仿宋_GB2312"/>
          <w:sz w:val="32"/>
          <w:szCs w:val="32"/>
        </w:rPr>
        <w:t>《中华人民共和国生物安全法》《实验动物管理条例》《实验动物许可证管理办法（试行）》</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《辽宁省实验动物管理办法》</w:t>
      </w:r>
      <w:r>
        <w:rPr>
          <w:rFonts w:hint="eastAsia" w:ascii="仿宋_GB2312" w:hAnsi="仿宋_GB2312" w:eastAsia="仿宋_GB2312" w:cs="仿宋_GB2312"/>
          <w:sz w:val="32"/>
          <w:szCs w:val="32"/>
          <w:lang w:eastAsia="zh-CN"/>
        </w:rPr>
        <w:t>，对相关违法行为和法律依据进行梳理，并规定了每种违法行为所对应的违法情节、处罚种类和幅度、其它处理措施，主要包含十三种违法行为。</w:t>
      </w:r>
    </w:p>
    <w:p>
      <w:pPr>
        <w:spacing w:line="360" w:lineRule="auto"/>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一是未取得实验动物生产、使用许可证，擅自从事实验动物生产或者使用的的行为。</w:t>
      </w:r>
    </w:p>
    <w:p>
      <w:pPr>
        <w:spacing w:line="360" w:lineRule="auto"/>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二是实验动物生产、使用许可证已过期，擅自从事实验动物生产或者使用的行为。</w:t>
      </w:r>
    </w:p>
    <w:p>
      <w:pPr>
        <w:spacing w:line="360" w:lineRule="auto"/>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三是检测数据记录不完整、不准确的；实验动物的饲育室和实验室不分开设立的；对不同品种、品系、等级和实验目的的实验动物不分开饲养的；不同品种、品系和等级的实验动物混装运输的行为。</w:t>
      </w:r>
    </w:p>
    <w:p>
      <w:pPr>
        <w:spacing w:line="360" w:lineRule="auto"/>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四是销售的实验动物无质量合格证或者合格证内容填写不实的；使用级别不符合相关规范或者不合格实验动物的行为。</w:t>
      </w:r>
    </w:p>
    <w:p>
      <w:pPr>
        <w:spacing w:line="360" w:lineRule="auto"/>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五是非病原微生物实验室将使用后的实验动物流入市场的行为。</w:t>
      </w:r>
    </w:p>
    <w:p>
      <w:pPr>
        <w:spacing w:line="360" w:lineRule="auto"/>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六是病原微生物实验室将使用后的实验动物流入市场的行为。</w:t>
      </w:r>
    </w:p>
    <w:p>
      <w:pPr>
        <w:spacing w:line="360" w:lineRule="auto"/>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七是涂改、出借、出租、转让许可证的行为。</w:t>
      </w:r>
    </w:p>
    <w:p>
      <w:pPr>
        <w:spacing w:line="360" w:lineRule="auto"/>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八是取得实验动物生产许可证的单位代售无许可证单位生产的动物及相关产品的行为。</w:t>
      </w:r>
    </w:p>
    <w:p>
      <w:pPr>
        <w:spacing w:line="360" w:lineRule="auto"/>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 w:eastAsia="zh-CN" w:bidi="ar-SA"/>
        </w:rPr>
        <w:t>九是发生疫情未采取措施或者措施不力，未及时</w:t>
      </w:r>
      <w:r>
        <w:rPr>
          <w:rFonts w:hint="eastAsia" w:ascii="仿宋_GB2312" w:hAnsi="仿宋_GB2312" w:eastAsia="仿宋_GB2312" w:cs="仿宋_GB2312"/>
          <w:kern w:val="0"/>
          <w:sz w:val="32"/>
          <w:szCs w:val="32"/>
          <w:lang w:val="en-US" w:eastAsia="zh-CN" w:bidi="ar-SA"/>
        </w:rPr>
        <w:t>报告实验动物管理部门和当地动物防疫、卫生防疫单位的行为。</w:t>
      </w:r>
    </w:p>
    <w:p>
      <w:pPr>
        <w:spacing w:line="360" w:lineRule="auto"/>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十是在实验动物生产、使用过程中产生的实验动物尸体及废弃物未经无害化处理的行为。</w:t>
      </w:r>
    </w:p>
    <w:p>
      <w:pPr>
        <w:spacing w:line="360" w:lineRule="auto"/>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十一是实验动物工作单位对直接接触实验动物的工作人员，未定期组织体检的；对患有传染性疾病，不宜承担所做工作的人员，未及时调换工作的行为。</w:t>
      </w:r>
    </w:p>
    <w:p>
      <w:pPr>
        <w:spacing w:line="360" w:lineRule="auto"/>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十二是戏弄、虐待实验动物的行为。</w:t>
      </w:r>
    </w:p>
    <w:p>
      <w:pPr>
        <w:spacing w:line="360" w:lineRule="auto"/>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十三是从事实验动物生产、使用单位未接受并配合依法进行的监督和检测的。</w:t>
      </w:r>
    </w:p>
    <w:sectPr>
      <w:footerReference r:id="rId3" w:type="default"/>
      <w:pgSz w:w="11906" w:h="16838"/>
      <w:pgMar w:top="1440" w:right="1570" w:bottom="1560" w:left="1570" w:header="851" w:footer="692" w:gutter="0"/>
      <w:pgNumType w:fmt="numberInDash" w:start="0"/>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0000019F"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- 5 -</w:t>
    </w:r>
    <w:r>
      <w:rPr>
        <w:rStyle w:val="8"/>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CAD2B8"/>
    <w:multiLevelType w:val="singleLevel"/>
    <w:tmpl w:val="E3CAD2B8"/>
    <w:lvl w:ilvl="0" w:tentative="0">
      <w:start w:val="2"/>
      <w:numFmt w:val="chineseCounting"/>
      <w:suff w:val="nothing"/>
      <w:lvlText w:val="（%1）"/>
      <w:lvlJc w:val="left"/>
      <w:rPr>
        <w:rFonts w:hint="eastAsia"/>
      </w:rPr>
    </w:lvl>
  </w:abstractNum>
  <w:abstractNum w:abstractNumId="1">
    <w:nsid w:val="67BE534E"/>
    <w:multiLevelType w:val="singleLevel"/>
    <w:tmpl w:val="67BE534E"/>
    <w:lvl w:ilvl="0" w:tentative="0">
      <w:start w:val="2"/>
      <w:numFmt w:val="chineseCounting"/>
      <w:suff w:val="nothing"/>
      <w:lvlText w:val="%1、"/>
      <w:lvlJc w:val="left"/>
      <w:pPr>
        <w:ind w:left="640" w:leftChars="0" w:firstLine="0" w:firstLineChars="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BF2"/>
    <w:rsid w:val="000038B0"/>
    <w:rsid w:val="00004AF4"/>
    <w:rsid w:val="000515DC"/>
    <w:rsid w:val="00060C22"/>
    <w:rsid w:val="000C1FD7"/>
    <w:rsid w:val="000E3977"/>
    <w:rsid w:val="001126FE"/>
    <w:rsid w:val="00145228"/>
    <w:rsid w:val="00151C64"/>
    <w:rsid w:val="00152043"/>
    <w:rsid w:val="00180199"/>
    <w:rsid w:val="001A79D2"/>
    <w:rsid w:val="001B749B"/>
    <w:rsid w:val="00256F5E"/>
    <w:rsid w:val="0032017E"/>
    <w:rsid w:val="00333BF2"/>
    <w:rsid w:val="0033412D"/>
    <w:rsid w:val="0035518F"/>
    <w:rsid w:val="003610BA"/>
    <w:rsid w:val="003A7ACD"/>
    <w:rsid w:val="003F0205"/>
    <w:rsid w:val="003F0D4D"/>
    <w:rsid w:val="00437474"/>
    <w:rsid w:val="004461D0"/>
    <w:rsid w:val="00481FA0"/>
    <w:rsid w:val="0049299F"/>
    <w:rsid w:val="00492F13"/>
    <w:rsid w:val="0049786C"/>
    <w:rsid w:val="004B0DE3"/>
    <w:rsid w:val="004C5E9E"/>
    <w:rsid w:val="00530C6C"/>
    <w:rsid w:val="005843AB"/>
    <w:rsid w:val="00591A88"/>
    <w:rsid w:val="00597E86"/>
    <w:rsid w:val="00625043"/>
    <w:rsid w:val="00651818"/>
    <w:rsid w:val="00656790"/>
    <w:rsid w:val="00687FD7"/>
    <w:rsid w:val="006A36BC"/>
    <w:rsid w:val="006B4C6E"/>
    <w:rsid w:val="006B627D"/>
    <w:rsid w:val="007813BE"/>
    <w:rsid w:val="00781DC0"/>
    <w:rsid w:val="007848B1"/>
    <w:rsid w:val="007A3D4D"/>
    <w:rsid w:val="007F1FA9"/>
    <w:rsid w:val="008224D3"/>
    <w:rsid w:val="008349A0"/>
    <w:rsid w:val="008438B0"/>
    <w:rsid w:val="008A3D87"/>
    <w:rsid w:val="00916179"/>
    <w:rsid w:val="0098726C"/>
    <w:rsid w:val="009A0D09"/>
    <w:rsid w:val="009B06E5"/>
    <w:rsid w:val="009B1E3C"/>
    <w:rsid w:val="009C204E"/>
    <w:rsid w:val="009C2410"/>
    <w:rsid w:val="009D01C8"/>
    <w:rsid w:val="009D42B4"/>
    <w:rsid w:val="00A34918"/>
    <w:rsid w:val="00A53C21"/>
    <w:rsid w:val="00A61983"/>
    <w:rsid w:val="00A70810"/>
    <w:rsid w:val="00A932FF"/>
    <w:rsid w:val="00AA5B71"/>
    <w:rsid w:val="00AB275B"/>
    <w:rsid w:val="00AD2615"/>
    <w:rsid w:val="00AE520C"/>
    <w:rsid w:val="00AE770E"/>
    <w:rsid w:val="00B376FB"/>
    <w:rsid w:val="00B556F9"/>
    <w:rsid w:val="00B77F31"/>
    <w:rsid w:val="00B93E5B"/>
    <w:rsid w:val="00BE5B45"/>
    <w:rsid w:val="00C51BA9"/>
    <w:rsid w:val="00C70FB3"/>
    <w:rsid w:val="00C95642"/>
    <w:rsid w:val="00CA4297"/>
    <w:rsid w:val="00CB114B"/>
    <w:rsid w:val="00CB5C69"/>
    <w:rsid w:val="00D170CB"/>
    <w:rsid w:val="00D357AF"/>
    <w:rsid w:val="00D36B09"/>
    <w:rsid w:val="00E32E02"/>
    <w:rsid w:val="00E40109"/>
    <w:rsid w:val="00E745C8"/>
    <w:rsid w:val="00E77E6C"/>
    <w:rsid w:val="00E84E18"/>
    <w:rsid w:val="00EB7D10"/>
    <w:rsid w:val="00ED6F69"/>
    <w:rsid w:val="00F00707"/>
    <w:rsid w:val="00F125C9"/>
    <w:rsid w:val="00F42E98"/>
    <w:rsid w:val="00F478CB"/>
    <w:rsid w:val="00F75D2C"/>
    <w:rsid w:val="00F83475"/>
    <w:rsid w:val="00F93B8B"/>
    <w:rsid w:val="00FC7945"/>
    <w:rsid w:val="00FD405E"/>
    <w:rsid w:val="00FE2AEC"/>
    <w:rsid w:val="00FE7A1D"/>
    <w:rsid w:val="1F75429A"/>
    <w:rsid w:val="1F8F3DB1"/>
    <w:rsid w:val="25278BF0"/>
    <w:rsid w:val="2B5EA776"/>
    <w:rsid w:val="2D7787CC"/>
    <w:rsid w:val="2EFBDC0C"/>
    <w:rsid w:val="2F7E430F"/>
    <w:rsid w:val="2FEE2596"/>
    <w:rsid w:val="3BF69322"/>
    <w:rsid w:val="3BFFC73D"/>
    <w:rsid w:val="3E18F5E3"/>
    <w:rsid w:val="3E7DA5AE"/>
    <w:rsid w:val="3F3993D9"/>
    <w:rsid w:val="3F7CA4FE"/>
    <w:rsid w:val="3FEF3C15"/>
    <w:rsid w:val="3FFF18FF"/>
    <w:rsid w:val="45E774AC"/>
    <w:rsid w:val="4FCDC263"/>
    <w:rsid w:val="577791ED"/>
    <w:rsid w:val="5E9AE93B"/>
    <w:rsid w:val="5ECC9B12"/>
    <w:rsid w:val="67EBE05D"/>
    <w:rsid w:val="6BBD9013"/>
    <w:rsid w:val="6DAF6649"/>
    <w:rsid w:val="6F779B6F"/>
    <w:rsid w:val="6F7E2679"/>
    <w:rsid w:val="6FFD3E5E"/>
    <w:rsid w:val="755FE0D6"/>
    <w:rsid w:val="7777073C"/>
    <w:rsid w:val="797F94BF"/>
    <w:rsid w:val="7B73E24A"/>
    <w:rsid w:val="7BD2E605"/>
    <w:rsid w:val="7BEF2E2C"/>
    <w:rsid w:val="7E2E8B5C"/>
    <w:rsid w:val="7E7A082D"/>
    <w:rsid w:val="7EE45716"/>
    <w:rsid w:val="7F47AB4B"/>
    <w:rsid w:val="7F5B7290"/>
    <w:rsid w:val="7FB34CE3"/>
    <w:rsid w:val="7FDB4726"/>
    <w:rsid w:val="7FEDDE65"/>
    <w:rsid w:val="870D1210"/>
    <w:rsid w:val="96F9BEE3"/>
    <w:rsid w:val="9F956B85"/>
    <w:rsid w:val="9FBF8A46"/>
    <w:rsid w:val="9FFAEA8D"/>
    <w:rsid w:val="A1F60233"/>
    <w:rsid w:val="AE0FF7E7"/>
    <w:rsid w:val="B4FBF59E"/>
    <w:rsid w:val="BA7B23C6"/>
    <w:rsid w:val="BD6F4293"/>
    <w:rsid w:val="BFDD4CDC"/>
    <w:rsid w:val="D5FBDFD9"/>
    <w:rsid w:val="D9CDEC90"/>
    <w:rsid w:val="D9DF69A7"/>
    <w:rsid w:val="DFBFB163"/>
    <w:rsid w:val="DFDFD2CC"/>
    <w:rsid w:val="EAF99592"/>
    <w:rsid w:val="EEF743EC"/>
    <w:rsid w:val="F31FEAEC"/>
    <w:rsid w:val="F3F7A802"/>
    <w:rsid w:val="F5F57B23"/>
    <w:rsid w:val="F7BE154A"/>
    <w:rsid w:val="FAF7C575"/>
    <w:rsid w:val="FE734873"/>
    <w:rsid w:val="FEF6EE80"/>
    <w:rsid w:val="FEFF5160"/>
    <w:rsid w:val="FF5C043A"/>
    <w:rsid w:val="FF99D335"/>
    <w:rsid w:val="FFB6AAAC"/>
    <w:rsid w:val="FFE74689"/>
    <w:rsid w:val="FFFD7715"/>
    <w:rsid w:val="FFFDCCCF"/>
    <w:rsid w:val="FFFE6588"/>
    <w:rsid w:val="FFFF4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2"/>
    <w:basedOn w:val="1"/>
    <w:next w:val="1"/>
    <w:link w:val="9"/>
    <w:qFormat/>
    <w:uiPriority w:val="99"/>
    <w:pPr>
      <w:keepNext/>
      <w:keepLines/>
      <w:spacing w:before="260" w:after="260" w:line="416" w:lineRule="auto"/>
      <w:outlineLvl w:val="1"/>
    </w:pPr>
    <w:rPr>
      <w:rFonts w:ascii="Cambria" w:hAnsi="Cambria" w:cs="Cambria"/>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8">
    <w:name w:val="page number"/>
    <w:basedOn w:val="7"/>
    <w:qFormat/>
    <w:uiPriority w:val="99"/>
  </w:style>
  <w:style w:type="character" w:customStyle="1" w:styleId="9">
    <w:name w:val="标题 2 字符"/>
    <w:basedOn w:val="7"/>
    <w:link w:val="3"/>
    <w:qFormat/>
    <w:uiPriority w:val="99"/>
    <w:rPr>
      <w:rFonts w:ascii="Cambria" w:hAnsi="Cambria" w:eastAsia="宋体" w:cs="Cambria"/>
      <w:b/>
      <w:bCs/>
      <w:sz w:val="32"/>
      <w:szCs w:val="32"/>
    </w:rPr>
  </w:style>
  <w:style w:type="character" w:customStyle="1" w:styleId="10">
    <w:name w:val="页脚 字符"/>
    <w:basedOn w:val="7"/>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423</Words>
  <Characters>2412</Characters>
  <Lines>20</Lines>
  <Paragraphs>5</Paragraphs>
  <TotalTime>2</TotalTime>
  <ScaleCrop>false</ScaleCrop>
  <LinksUpToDate>false</LinksUpToDate>
  <CharactersWithSpaces>2830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2023-04-25T16:05:00Z</dcterms:created>
  <dc:creator>pc</dc:creator>
  <cp:lastModifiedBy>user</cp:lastModifiedBy>
  <cp:lastPrinted>2023-04-28T16:52:00Z</cp:lastPrinted>
  <dcterms:modified xsi:type="dcterms:W3CDTF">2023-05-15T10:34:45Z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